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772259D9"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F35FEE">
        <w:rPr>
          <w:rFonts w:ascii="Tahoma" w:hAnsi="Tahoma" w:cs="Tahoma"/>
          <w:b/>
        </w:rPr>
        <w:t>7</w:t>
      </w:r>
      <w:r w:rsidRPr="00035BEE">
        <w:rPr>
          <w:rFonts w:ascii="Tahoma" w:hAnsi="Tahoma" w:cs="Tahoma"/>
          <w:b/>
        </w:rPr>
        <w:t xml:space="preserve">/2025 </w:t>
      </w:r>
      <w:r w:rsidR="00F35FEE" w:rsidRPr="00F35FEE">
        <w:rPr>
          <w:rFonts w:ascii="Tahoma" w:eastAsia="Calibri" w:hAnsi="Tahoma" w:cs="Tahoma"/>
          <w:b/>
          <w:lang w:val="es-ES" w:eastAsia="en-US"/>
        </w:rPr>
        <w:t>“ADQUISICIÓN DE TROFEOS Y MEDALLAS PARA EL CONSEJO MUNICIPAL DEL DEPORTE DE TLAJOMULCO DE ZÚÑIGA, JALISCO”</w:t>
      </w: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E94DC5F"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F35B2C">
              <w:rPr>
                <w:rFonts w:ascii="Arial" w:eastAsia="Calibri" w:hAnsi="Arial" w:cs="Arial"/>
                <w:b/>
                <w:lang w:eastAsia="es-ES"/>
              </w:rPr>
              <w:t xml:space="preserve">un solo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0FEF26FD" w:rsidR="00D854C8" w:rsidRPr="00522C2D" w:rsidRDefault="00F35FEE" w:rsidP="00D349F9">
            <w:pPr>
              <w:jc w:val="both"/>
              <w:rPr>
                <w:rFonts w:ascii="Arial" w:eastAsia="Calibri" w:hAnsi="Arial" w:cs="Arial"/>
                <w:lang w:eastAsia="es-ES"/>
              </w:rPr>
            </w:pPr>
            <w:r>
              <w:rPr>
                <w:rFonts w:ascii="Arial" w:eastAsia="Calibri" w:hAnsi="Arial" w:cs="Arial"/>
                <w:lang w:eastAsia="es-ES"/>
              </w:rPr>
              <w:t>2731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28DA8BB"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496DEC">
              <w:rPr>
                <w:rFonts w:ascii="Arial" w:eastAsia="Calibri" w:hAnsi="Arial" w:cs="Arial"/>
                <w:color w:val="000000"/>
              </w:rPr>
              <w:t>2</w:t>
            </w:r>
            <w:r w:rsidR="00F35B2C">
              <w:rPr>
                <w:rFonts w:ascii="Arial" w:eastAsia="Calibri" w:hAnsi="Arial" w:cs="Arial"/>
                <w:color w:val="000000"/>
              </w:rPr>
              <w:t xml:space="preserve">7 </w:t>
            </w:r>
            <w:r>
              <w:rPr>
                <w:rFonts w:ascii="Arial" w:eastAsia="Calibri" w:hAnsi="Arial" w:cs="Arial"/>
                <w:color w:val="000000"/>
              </w:rPr>
              <w:t>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4A4CD25B"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20825558"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p w14:paraId="26B1BAAD" w14:textId="77777777" w:rsidR="007B5BC1" w:rsidRDefault="007B5BC1" w:rsidP="006A4E6B">
      <w:pPr>
        <w:spacing w:after="0" w:line="240" w:lineRule="auto"/>
        <w:jc w:val="both"/>
        <w:rPr>
          <w:b/>
        </w:rPr>
      </w:pPr>
    </w:p>
    <w:tbl>
      <w:tblPr>
        <w:tblStyle w:val="Tablaconcuadrcula1"/>
        <w:tblW w:w="9209" w:type="dxa"/>
        <w:jc w:val="center"/>
        <w:tblLook w:val="04A0" w:firstRow="1" w:lastRow="0" w:firstColumn="1" w:lastColumn="0" w:noHBand="0" w:noVBand="1"/>
      </w:tblPr>
      <w:tblGrid>
        <w:gridCol w:w="953"/>
        <w:gridCol w:w="1060"/>
        <w:gridCol w:w="1214"/>
        <w:gridCol w:w="5982"/>
      </w:tblGrid>
      <w:tr w:rsidR="00F35FEE" w:rsidRPr="00B65F9F" w14:paraId="4D2066B6" w14:textId="77777777" w:rsidTr="00F35FEE">
        <w:trPr>
          <w:trHeight w:val="231"/>
          <w:jc w:val="center"/>
        </w:trPr>
        <w:tc>
          <w:tcPr>
            <w:tcW w:w="953" w:type="dxa"/>
            <w:shd w:val="clear" w:color="auto" w:fill="000000" w:themeFill="text1"/>
          </w:tcPr>
          <w:p w14:paraId="4FC0BA03" w14:textId="77777777" w:rsidR="00F35FEE" w:rsidRPr="00B65F9F" w:rsidRDefault="00F35FEE" w:rsidP="00BD6EEF">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Partida</w:t>
            </w:r>
          </w:p>
        </w:tc>
        <w:tc>
          <w:tcPr>
            <w:tcW w:w="1060" w:type="dxa"/>
            <w:shd w:val="clear" w:color="auto" w:fill="000000" w:themeFill="text1"/>
          </w:tcPr>
          <w:p w14:paraId="2FACF0D7" w14:textId="77777777" w:rsidR="00F35FEE" w:rsidRPr="00B65F9F" w:rsidRDefault="00F35FEE" w:rsidP="00BD6EEF">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Cantidad</w:t>
            </w:r>
          </w:p>
        </w:tc>
        <w:tc>
          <w:tcPr>
            <w:tcW w:w="1214" w:type="dxa"/>
            <w:shd w:val="clear" w:color="auto" w:fill="000000" w:themeFill="text1"/>
          </w:tcPr>
          <w:p w14:paraId="18A0233A" w14:textId="77777777" w:rsidR="00F35FEE" w:rsidRPr="00B65F9F" w:rsidRDefault="00F35FEE" w:rsidP="00BD6EEF">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UM</w:t>
            </w:r>
          </w:p>
        </w:tc>
        <w:tc>
          <w:tcPr>
            <w:tcW w:w="5982" w:type="dxa"/>
            <w:shd w:val="clear" w:color="auto" w:fill="000000" w:themeFill="text1"/>
          </w:tcPr>
          <w:p w14:paraId="5274279C" w14:textId="77777777" w:rsidR="00F35FEE" w:rsidRPr="00B65F9F" w:rsidRDefault="00F35FEE" w:rsidP="00BD6EEF">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Descripción</w:t>
            </w:r>
          </w:p>
        </w:tc>
      </w:tr>
      <w:tr w:rsidR="00F35FEE" w:rsidRPr="00B65F9F" w14:paraId="1B30EA3A" w14:textId="77777777" w:rsidTr="00BD6EEF">
        <w:trPr>
          <w:trHeight w:val="3818"/>
          <w:jc w:val="center"/>
        </w:trPr>
        <w:tc>
          <w:tcPr>
            <w:tcW w:w="953" w:type="dxa"/>
            <w:vAlign w:val="center"/>
          </w:tcPr>
          <w:p w14:paraId="6F112231" w14:textId="77777777" w:rsidR="00F35FEE" w:rsidRPr="00B65F9F" w:rsidRDefault="00F35FEE" w:rsidP="00BD6EEF">
            <w:pPr>
              <w:spacing w:after="200" w:line="276" w:lineRule="auto"/>
              <w:jc w:val="center"/>
              <w:rPr>
                <w:rFonts w:ascii="Leelawadee UI" w:eastAsia="Calibri" w:hAnsi="Leelawadee UI" w:cs="Leelawadee UI"/>
                <w:sz w:val="20"/>
                <w:szCs w:val="20"/>
              </w:rPr>
            </w:pPr>
            <w:r w:rsidRPr="00B65F9F">
              <w:rPr>
                <w:rFonts w:ascii="Leelawadee UI" w:eastAsia="Calibri" w:hAnsi="Leelawadee UI" w:cs="Leelawadee UI"/>
                <w:sz w:val="20"/>
                <w:szCs w:val="20"/>
              </w:rPr>
              <w:t>1</w:t>
            </w:r>
          </w:p>
        </w:tc>
        <w:tc>
          <w:tcPr>
            <w:tcW w:w="1060" w:type="dxa"/>
            <w:vAlign w:val="center"/>
          </w:tcPr>
          <w:p w14:paraId="7F5995FA"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20</w:t>
            </w:r>
          </w:p>
        </w:tc>
        <w:tc>
          <w:tcPr>
            <w:tcW w:w="1214" w:type="dxa"/>
            <w:vAlign w:val="center"/>
          </w:tcPr>
          <w:p w14:paraId="2ADB927B"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DUPLAS</w:t>
            </w:r>
          </w:p>
        </w:tc>
        <w:tc>
          <w:tcPr>
            <w:tcW w:w="5982" w:type="dxa"/>
          </w:tcPr>
          <w:p w14:paraId="448F397F" w14:textId="77777777" w:rsidR="00F35FEE" w:rsidRPr="00CF7B05" w:rsidRDefault="00F35FEE" w:rsidP="00BD6EEF">
            <w:pPr>
              <w:ind w:left="720"/>
              <w:jc w:val="center"/>
              <w:rPr>
                <w:rFonts w:ascii="Verdana" w:eastAsia="Calibri" w:hAnsi="Verdana" w:cstheme="majorHAnsi"/>
                <w:sz w:val="20"/>
                <w:szCs w:val="20"/>
                <w:lang w:eastAsia="es-ES"/>
              </w:rPr>
            </w:pPr>
          </w:p>
          <w:p w14:paraId="459D9B8C" w14:textId="77777777" w:rsidR="00F35FEE" w:rsidRPr="00CF7B05" w:rsidRDefault="00F35FEE" w:rsidP="00BD6EEF">
            <w:pPr>
              <w:rPr>
                <w:rFonts w:ascii="Verdana" w:hAnsi="Verdana"/>
                <w:sz w:val="20"/>
                <w:szCs w:val="20"/>
              </w:rPr>
            </w:pPr>
            <w:r w:rsidRPr="00CF7B05">
              <w:rPr>
                <w:rFonts w:ascii="Verdana" w:hAnsi="Verdana"/>
                <w:b/>
                <w:bCs/>
                <w:sz w:val="20"/>
                <w:szCs w:val="20"/>
              </w:rPr>
              <w:t>Dupla de Trofeos – Campeón + Subcampeón de 60cm y 55cm</w:t>
            </w:r>
            <w:r w:rsidRPr="00CF7B05">
              <w:rPr>
                <w:rFonts w:ascii="Verdana" w:hAnsi="Verdana"/>
                <w:sz w:val="20"/>
                <w:szCs w:val="20"/>
              </w:rPr>
              <w:br/>
              <w:t>Set exclusivo de trofeos diseñado para premiar a los mejores con estilo, presencia y durabilidad.</w:t>
            </w:r>
          </w:p>
          <w:p w14:paraId="4A651E9A"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Estructura:</w:t>
            </w:r>
            <w:r w:rsidRPr="00CF7B05">
              <w:rPr>
                <w:rFonts w:ascii="Verdana" w:hAnsi="Verdana"/>
                <w:sz w:val="20"/>
                <w:szCs w:val="20"/>
              </w:rPr>
              <w:t xml:space="preserve"> Base robusta de madera finamente trabajada.</w:t>
            </w:r>
          </w:p>
          <w:p w14:paraId="2453E47F"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Elemento decorativo:</w:t>
            </w:r>
            <w:r w:rsidRPr="00CF7B05">
              <w:rPr>
                <w:rFonts w:ascii="Verdana" w:hAnsi="Verdana"/>
                <w:sz w:val="20"/>
                <w:szCs w:val="20"/>
              </w:rPr>
              <w:t xml:space="preserve"> Medio balón metálico según el deporte (fútbol, voleibol o baloncesto).</w:t>
            </w:r>
          </w:p>
          <w:p w14:paraId="41719ADA"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Incluye:</w:t>
            </w:r>
          </w:p>
          <w:p w14:paraId="3E4E784F" w14:textId="77777777" w:rsidR="00F35FEE" w:rsidRPr="00CF7B05" w:rsidRDefault="00F35FEE" w:rsidP="00F35FEE">
            <w:pPr>
              <w:numPr>
                <w:ilvl w:val="1"/>
                <w:numId w:val="3"/>
              </w:numPr>
              <w:rPr>
                <w:rFonts w:ascii="Verdana" w:hAnsi="Verdana"/>
                <w:sz w:val="20"/>
                <w:szCs w:val="20"/>
              </w:rPr>
            </w:pPr>
            <w:r w:rsidRPr="00CF7B05">
              <w:rPr>
                <w:rFonts w:ascii="Verdana" w:hAnsi="Verdana"/>
                <w:b/>
                <w:bCs/>
                <w:sz w:val="20"/>
                <w:szCs w:val="20"/>
              </w:rPr>
              <w:t>2 trofeos (Campeón y Subcampeón)</w:t>
            </w:r>
          </w:p>
          <w:p w14:paraId="636A43BE" w14:textId="77777777" w:rsidR="00F35FEE" w:rsidRPr="00CF7B05" w:rsidRDefault="00F35FEE" w:rsidP="00F35FEE">
            <w:pPr>
              <w:numPr>
                <w:ilvl w:val="1"/>
                <w:numId w:val="3"/>
              </w:numPr>
              <w:rPr>
                <w:rFonts w:ascii="Verdana" w:hAnsi="Verdana"/>
                <w:sz w:val="20"/>
                <w:szCs w:val="20"/>
              </w:rPr>
            </w:pPr>
            <w:r w:rsidRPr="00CF7B05">
              <w:rPr>
                <w:rFonts w:ascii="Verdana" w:hAnsi="Verdana"/>
                <w:b/>
                <w:bCs/>
                <w:sz w:val="20"/>
                <w:szCs w:val="20"/>
              </w:rPr>
              <w:t>Placa de aluminio sublimada</w:t>
            </w:r>
            <w:r w:rsidRPr="00CF7B05">
              <w:rPr>
                <w:rFonts w:ascii="Verdana" w:hAnsi="Verdana"/>
                <w:sz w:val="20"/>
                <w:szCs w:val="20"/>
              </w:rPr>
              <w:t>, personalizada con nombre del torneo, categoría, fecha, logo o texto especial.</w:t>
            </w:r>
          </w:p>
          <w:p w14:paraId="7EB5B014" w14:textId="77777777" w:rsidR="00F35FEE" w:rsidRPr="00CF7B05" w:rsidRDefault="00F35FEE" w:rsidP="00BD6EEF">
            <w:pPr>
              <w:spacing w:line="259" w:lineRule="auto"/>
              <w:rPr>
                <w:rFonts w:ascii="Verdana" w:eastAsia="Calibri" w:hAnsi="Verdana" w:cstheme="majorHAnsi"/>
                <w:color w:val="000000"/>
                <w:sz w:val="20"/>
                <w:szCs w:val="20"/>
                <w:lang w:eastAsia="es-ES"/>
              </w:rPr>
            </w:pPr>
            <w:r w:rsidRPr="00CF7B05">
              <w:rPr>
                <w:rFonts w:ascii="Verdana" w:hAnsi="Verdana"/>
                <w:b/>
                <w:bCs/>
                <w:sz w:val="20"/>
                <w:szCs w:val="20"/>
              </w:rPr>
              <w:t>Acabado:</w:t>
            </w:r>
            <w:r w:rsidRPr="00CF7B05">
              <w:rPr>
                <w:rFonts w:ascii="Verdana" w:hAnsi="Verdana"/>
                <w:sz w:val="20"/>
                <w:szCs w:val="20"/>
              </w:rPr>
              <w:t xml:space="preserve"> Alta calidad en materiales, impresión y ensamblado. Ideal para eventos deportivos profesionales o amateur.</w:t>
            </w:r>
          </w:p>
        </w:tc>
      </w:tr>
      <w:tr w:rsidR="00F35FEE" w:rsidRPr="00B65F9F" w14:paraId="1469747F" w14:textId="77777777" w:rsidTr="00BD6EEF">
        <w:trPr>
          <w:trHeight w:val="3818"/>
          <w:jc w:val="center"/>
        </w:trPr>
        <w:tc>
          <w:tcPr>
            <w:tcW w:w="953" w:type="dxa"/>
            <w:vAlign w:val="center"/>
          </w:tcPr>
          <w:p w14:paraId="3E966965"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2</w:t>
            </w:r>
          </w:p>
        </w:tc>
        <w:tc>
          <w:tcPr>
            <w:tcW w:w="1060" w:type="dxa"/>
            <w:vAlign w:val="center"/>
          </w:tcPr>
          <w:p w14:paraId="2B56159E"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19</w:t>
            </w:r>
          </w:p>
        </w:tc>
        <w:tc>
          <w:tcPr>
            <w:tcW w:w="1214" w:type="dxa"/>
            <w:vAlign w:val="center"/>
          </w:tcPr>
          <w:p w14:paraId="208824A5"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DUPLAS</w:t>
            </w:r>
          </w:p>
        </w:tc>
        <w:tc>
          <w:tcPr>
            <w:tcW w:w="5982" w:type="dxa"/>
          </w:tcPr>
          <w:p w14:paraId="21F2840B" w14:textId="77777777" w:rsidR="00F35FEE" w:rsidRPr="00CF7B05" w:rsidRDefault="00F35FEE" w:rsidP="00BD6EEF">
            <w:pPr>
              <w:rPr>
                <w:rFonts w:ascii="Verdana" w:hAnsi="Verdana"/>
                <w:sz w:val="20"/>
                <w:szCs w:val="20"/>
              </w:rPr>
            </w:pPr>
            <w:r w:rsidRPr="00CF7B05">
              <w:rPr>
                <w:rFonts w:ascii="Verdana" w:hAnsi="Verdana"/>
                <w:b/>
                <w:bCs/>
                <w:sz w:val="20"/>
                <w:szCs w:val="20"/>
              </w:rPr>
              <w:t xml:space="preserve">Dupla de Trofeos – Campeón + Subcampeón de 60cm y 55cm </w:t>
            </w:r>
            <w:r w:rsidRPr="00CF7B05">
              <w:rPr>
                <w:rFonts w:ascii="Verdana" w:hAnsi="Verdana"/>
                <w:sz w:val="20"/>
                <w:szCs w:val="20"/>
              </w:rPr>
              <w:br/>
              <w:t>Set exclusivo de trofeos diseñado para premiar a los mejores con estilo, presencia y durabilidad.</w:t>
            </w:r>
          </w:p>
          <w:p w14:paraId="6FC05304"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Estructura:</w:t>
            </w:r>
            <w:r w:rsidRPr="00CF7B05">
              <w:rPr>
                <w:rFonts w:ascii="Verdana" w:hAnsi="Verdana"/>
                <w:sz w:val="20"/>
                <w:szCs w:val="20"/>
              </w:rPr>
              <w:t xml:space="preserve"> Base robusta de madera finamente trabajada.</w:t>
            </w:r>
          </w:p>
          <w:p w14:paraId="403DA30F"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Incluye:</w:t>
            </w:r>
          </w:p>
          <w:p w14:paraId="17A551CA" w14:textId="77777777" w:rsidR="00F35FEE" w:rsidRPr="00CF7B05" w:rsidRDefault="00F35FEE" w:rsidP="00F35FEE">
            <w:pPr>
              <w:numPr>
                <w:ilvl w:val="1"/>
                <w:numId w:val="3"/>
              </w:numPr>
              <w:rPr>
                <w:rFonts w:ascii="Verdana" w:hAnsi="Verdana"/>
                <w:sz w:val="20"/>
                <w:szCs w:val="20"/>
              </w:rPr>
            </w:pPr>
            <w:r w:rsidRPr="00CF7B05">
              <w:rPr>
                <w:rFonts w:ascii="Verdana" w:hAnsi="Verdana"/>
                <w:b/>
                <w:bCs/>
                <w:sz w:val="20"/>
                <w:szCs w:val="20"/>
              </w:rPr>
              <w:t>2 trofeos (Campeón y Subcampeón)</w:t>
            </w:r>
          </w:p>
          <w:p w14:paraId="3C3F75F8" w14:textId="77777777" w:rsidR="00F35FEE" w:rsidRPr="00CF7B05" w:rsidRDefault="00F35FEE" w:rsidP="00F35FEE">
            <w:pPr>
              <w:numPr>
                <w:ilvl w:val="1"/>
                <w:numId w:val="3"/>
              </w:numPr>
              <w:rPr>
                <w:rFonts w:ascii="Verdana" w:hAnsi="Verdana"/>
                <w:sz w:val="20"/>
                <w:szCs w:val="20"/>
              </w:rPr>
            </w:pPr>
            <w:r w:rsidRPr="00CF7B05">
              <w:rPr>
                <w:rFonts w:ascii="Verdana" w:hAnsi="Verdana"/>
                <w:b/>
                <w:bCs/>
                <w:sz w:val="20"/>
                <w:szCs w:val="20"/>
              </w:rPr>
              <w:t>Placa de aluminio sublimada</w:t>
            </w:r>
            <w:r w:rsidRPr="00CF7B05">
              <w:rPr>
                <w:rFonts w:ascii="Verdana" w:hAnsi="Verdana"/>
                <w:sz w:val="20"/>
                <w:szCs w:val="20"/>
              </w:rPr>
              <w:t>, personalizada con nombre del torneo, categoría, fecha, logo o texto especial.</w:t>
            </w:r>
          </w:p>
          <w:p w14:paraId="699D7EC9" w14:textId="77777777" w:rsidR="00F35FEE" w:rsidRPr="00CF7B05" w:rsidRDefault="00F35FEE" w:rsidP="00F35FEE">
            <w:pPr>
              <w:numPr>
                <w:ilvl w:val="0"/>
                <w:numId w:val="3"/>
              </w:numPr>
              <w:rPr>
                <w:rFonts w:ascii="Verdana" w:hAnsi="Verdana"/>
                <w:sz w:val="20"/>
                <w:szCs w:val="20"/>
              </w:rPr>
            </w:pPr>
            <w:r w:rsidRPr="00CF7B05">
              <w:rPr>
                <w:rFonts w:ascii="Verdana" w:hAnsi="Verdana"/>
                <w:b/>
                <w:bCs/>
                <w:sz w:val="20"/>
                <w:szCs w:val="20"/>
              </w:rPr>
              <w:t>Acabado:</w:t>
            </w:r>
            <w:r w:rsidRPr="00CF7B05">
              <w:rPr>
                <w:rFonts w:ascii="Verdana" w:hAnsi="Verdana"/>
                <w:sz w:val="20"/>
                <w:szCs w:val="20"/>
              </w:rPr>
              <w:t xml:space="preserve"> Alta calidad en materiales, impresión y ensamblado. Ideal para eventos deportivos profesionales o amateur.</w:t>
            </w:r>
          </w:p>
          <w:p w14:paraId="5A15E119" w14:textId="77777777" w:rsidR="00F35FEE" w:rsidRPr="00CF7B05" w:rsidRDefault="00F35FEE" w:rsidP="00BD6EEF">
            <w:pPr>
              <w:ind w:left="720"/>
              <w:rPr>
                <w:rFonts w:ascii="Verdana" w:eastAsia="Calibri" w:hAnsi="Verdana" w:cstheme="majorHAnsi"/>
                <w:sz w:val="20"/>
                <w:szCs w:val="20"/>
                <w:lang w:eastAsia="es-ES"/>
              </w:rPr>
            </w:pPr>
          </w:p>
        </w:tc>
      </w:tr>
      <w:tr w:rsidR="00F35FEE" w:rsidRPr="00B65F9F" w14:paraId="6A5F4715" w14:textId="77777777" w:rsidTr="00BD6EEF">
        <w:trPr>
          <w:trHeight w:val="3818"/>
          <w:jc w:val="center"/>
        </w:trPr>
        <w:tc>
          <w:tcPr>
            <w:tcW w:w="953" w:type="dxa"/>
            <w:vAlign w:val="center"/>
          </w:tcPr>
          <w:p w14:paraId="2CA6DBA5" w14:textId="64B76756"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lastRenderedPageBreak/>
              <w:t>3</w:t>
            </w:r>
          </w:p>
        </w:tc>
        <w:tc>
          <w:tcPr>
            <w:tcW w:w="1060" w:type="dxa"/>
            <w:vAlign w:val="center"/>
          </w:tcPr>
          <w:p w14:paraId="18450290"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 xml:space="preserve"> 600</w:t>
            </w:r>
          </w:p>
        </w:tc>
        <w:tc>
          <w:tcPr>
            <w:tcW w:w="1214" w:type="dxa"/>
            <w:vAlign w:val="center"/>
          </w:tcPr>
          <w:p w14:paraId="2A801BF1" w14:textId="77777777" w:rsidR="00F35FEE" w:rsidRPr="00B65F9F" w:rsidRDefault="00F35FEE" w:rsidP="00BD6EEF">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PIEZAS</w:t>
            </w:r>
          </w:p>
        </w:tc>
        <w:tc>
          <w:tcPr>
            <w:tcW w:w="5982" w:type="dxa"/>
          </w:tcPr>
          <w:p w14:paraId="0FBCA6EC" w14:textId="77777777" w:rsidR="00F35FEE" w:rsidRPr="00CF7B05" w:rsidRDefault="00F35FEE" w:rsidP="00BD6EEF">
            <w:pPr>
              <w:rPr>
                <w:rFonts w:ascii="Verdana" w:hAnsi="Verdana"/>
                <w:sz w:val="20"/>
                <w:szCs w:val="20"/>
              </w:rPr>
            </w:pPr>
            <w:r w:rsidRPr="00CF7B05">
              <w:rPr>
                <w:rFonts w:ascii="Verdana" w:hAnsi="Verdana"/>
                <w:b/>
                <w:bCs/>
                <w:sz w:val="20"/>
                <w:szCs w:val="20"/>
              </w:rPr>
              <w:t>Medalla Personalizada en Acrílico – Alta Calidad</w:t>
            </w:r>
            <w:r w:rsidRPr="00CF7B05">
              <w:rPr>
                <w:rFonts w:ascii="Verdana" w:hAnsi="Verdana"/>
                <w:sz w:val="20"/>
                <w:szCs w:val="20"/>
              </w:rPr>
              <w:br/>
              <w:t>Medalla exclusiva fabricada en acrílico negro y con listón de 6 mm de grosor, ideal para premiar con distinción y estilo.</w:t>
            </w:r>
          </w:p>
          <w:p w14:paraId="535C7251" w14:textId="77777777" w:rsidR="00F35FEE" w:rsidRPr="00CF7B05" w:rsidRDefault="00F35FEE" w:rsidP="00F35FEE">
            <w:pPr>
              <w:numPr>
                <w:ilvl w:val="0"/>
                <w:numId w:val="4"/>
              </w:numPr>
              <w:rPr>
                <w:rFonts w:ascii="Verdana" w:hAnsi="Verdana"/>
                <w:sz w:val="20"/>
                <w:szCs w:val="20"/>
              </w:rPr>
            </w:pPr>
            <w:r w:rsidRPr="00CF7B05">
              <w:rPr>
                <w:rFonts w:ascii="Verdana" w:hAnsi="Verdana"/>
                <w:b/>
                <w:bCs/>
                <w:sz w:val="20"/>
                <w:szCs w:val="20"/>
              </w:rPr>
              <w:t>Material:</w:t>
            </w:r>
            <w:r w:rsidRPr="00CF7B05">
              <w:rPr>
                <w:rFonts w:ascii="Verdana" w:hAnsi="Verdana"/>
                <w:sz w:val="20"/>
                <w:szCs w:val="20"/>
              </w:rPr>
              <w:t xml:space="preserve"> Acrílico negro sólido, resistente y elegante.</w:t>
            </w:r>
          </w:p>
          <w:p w14:paraId="1C9A6B50" w14:textId="77777777" w:rsidR="00F35FEE" w:rsidRPr="00CF7B05" w:rsidRDefault="00F35FEE" w:rsidP="00F35FEE">
            <w:pPr>
              <w:numPr>
                <w:ilvl w:val="0"/>
                <w:numId w:val="4"/>
              </w:numPr>
              <w:rPr>
                <w:rFonts w:ascii="Verdana" w:hAnsi="Verdana"/>
                <w:sz w:val="20"/>
                <w:szCs w:val="20"/>
              </w:rPr>
            </w:pPr>
            <w:r w:rsidRPr="00CF7B05">
              <w:rPr>
                <w:rFonts w:ascii="Verdana" w:hAnsi="Verdana"/>
                <w:b/>
                <w:bCs/>
                <w:sz w:val="20"/>
                <w:szCs w:val="20"/>
              </w:rPr>
              <w:t>Grosor:</w:t>
            </w:r>
            <w:r w:rsidRPr="00CF7B05">
              <w:rPr>
                <w:rFonts w:ascii="Verdana" w:hAnsi="Verdana"/>
                <w:sz w:val="20"/>
                <w:szCs w:val="20"/>
              </w:rPr>
              <w:t xml:space="preserve"> 6 mm, que le brinda firmeza y presencia.</w:t>
            </w:r>
          </w:p>
          <w:p w14:paraId="6B13A664" w14:textId="77777777" w:rsidR="00F35FEE" w:rsidRPr="00CF7B05" w:rsidRDefault="00F35FEE" w:rsidP="00F35FEE">
            <w:pPr>
              <w:numPr>
                <w:ilvl w:val="0"/>
                <w:numId w:val="4"/>
              </w:numPr>
              <w:rPr>
                <w:rFonts w:ascii="Verdana" w:hAnsi="Verdana"/>
                <w:sz w:val="20"/>
                <w:szCs w:val="20"/>
              </w:rPr>
            </w:pPr>
            <w:r w:rsidRPr="00CF7B05">
              <w:rPr>
                <w:rFonts w:ascii="Verdana" w:hAnsi="Verdana"/>
                <w:b/>
                <w:bCs/>
                <w:sz w:val="20"/>
                <w:szCs w:val="20"/>
              </w:rPr>
              <w:t>Forma:</w:t>
            </w:r>
            <w:r w:rsidRPr="00CF7B05">
              <w:rPr>
                <w:rFonts w:ascii="Verdana" w:hAnsi="Verdana"/>
                <w:sz w:val="20"/>
                <w:szCs w:val="20"/>
              </w:rPr>
              <w:t xml:space="preserve"> Corte personalizado según diseño o temática del evento.</w:t>
            </w:r>
          </w:p>
          <w:p w14:paraId="6BE32B5C" w14:textId="77777777" w:rsidR="00F35FEE" w:rsidRPr="00CF7B05" w:rsidRDefault="00F35FEE" w:rsidP="00F35FEE">
            <w:pPr>
              <w:numPr>
                <w:ilvl w:val="0"/>
                <w:numId w:val="4"/>
              </w:numPr>
              <w:rPr>
                <w:rFonts w:ascii="Verdana" w:hAnsi="Verdana"/>
                <w:sz w:val="20"/>
                <w:szCs w:val="20"/>
              </w:rPr>
            </w:pPr>
            <w:r w:rsidRPr="00CF7B05">
              <w:rPr>
                <w:rFonts w:ascii="Verdana" w:hAnsi="Verdana"/>
                <w:b/>
                <w:bCs/>
                <w:sz w:val="20"/>
                <w:szCs w:val="20"/>
              </w:rPr>
              <w:t>Detalle central:</w:t>
            </w:r>
            <w:r w:rsidRPr="00CF7B05">
              <w:rPr>
                <w:rFonts w:ascii="Verdana" w:hAnsi="Verdana"/>
                <w:sz w:val="20"/>
                <w:szCs w:val="20"/>
              </w:rPr>
              <w:t xml:space="preserve"> Lámina sublimada a todo color, totalmente personalizada con logotipo, nombre del evento, categoría, fecha o mensaje especial.</w:t>
            </w:r>
          </w:p>
          <w:p w14:paraId="05034AF5" w14:textId="77777777" w:rsidR="00F35FEE" w:rsidRPr="00CF7B05" w:rsidRDefault="00F35FEE" w:rsidP="00BD6EEF">
            <w:pPr>
              <w:ind w:left="720"/>
              <w:jc w:val="both"/>
              <w:rPr>
                <w:rFonts w:ascii="Verdana" w:eastAsia="Calibri" w:hAnsi="Verdana" w:cstheme="majorHAnsi"/>
                <w:sz w:val="20"/>
                <w:szCs w:val="20"/>
                <w:lang w:eastAsia="es-ES"/>
              </w:rPr>
            </w:pPr>
            <w:r w:rsidRPr="00CF7B05">
              <w:rPr>
                <w:rFonts w:ascii="Verdana" w:hAnsi="Verdana"/>
                <w:b/>
                <w:bCs/>
                <w:sz w:val="20"/>
                <w:szCs w:val="20"/>
              </w:rPr>
              <w:t>Acabado:</w:t>
            </w:r>
            <w:r w:rsidRPr="00CF7B05">
              <w:rPr>
                <w:rFonts w:ascii="Verdana" w:hAnsi="Verdana"/>
                <w:sz w:val="20"/>
                <w:szCs w:val="20"/>
              </w:rPr>
              <w:t xml:space="preserve"> Preciso y duradero, ideal para competencias deportivas.</w:t>
            </w:r>
          </w:p>
        </w:tc>
      </w:tr>
    </w:tbl>
    <w:p w14:paraId="505B0AF8" w14:textId="77777777" w:rsidR="00F35FEE" w:rsidRDefault="00F35FEE" w:rsidP="006A4E6B">
      <w:pPr>
        <w:spacing w:after="0" w:line="240" w:lineRule="auto"/>
        <w:jc w:val="both"/>
        <w:rPr>
          <w:b/>
        </w:rPr>
      </w:pPr>
    </w:p>
    <w:p w14:paraId="159D117F" w14:textId="009B6C2D"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71F2401F" w14:textId="77777777" w:rsidR="00593760" w:rsidRDefault="00593760" w:rsidP="002910B3">
      <w:pPr>
        <w:spacing w:after="0" w:line="240" w:lineRule="auto"/>
        <w:jc w:val="center"/>
        <w:rPr>
          <w:b/>
          <w:sz w:val="28"/>
          <w:szCs w:val="28"/>
        </w:rPr>
      </w:pPr>
    </w:p>
    <w:p w14:paraId="1B60A742" w14:textId="77777777" w:rsidR="00593760" w:rsidRDefault="00593760" w:rsidP="002910B3">
      <w:pPr>
        <w:spacing w:after="0" w:line="240" w:lineRule="auto"/>
        <w:jc w:val="center"/>
        <w:rPr>
          <w:b/>
          <w:sz w:val="28"/>
          <w:szCs w:val="28"/>
        </w:rPr>
      </w:pPr>
    </w:p>
    <w:p w14:paraId="43270891" w14:textId="77777777" w:rsidR="00593760" w:rsidRDefault="00593760" w:rsidP="002910B3">
      <w:pPr>
        <w:spacing w:after="0" w:line="240" w:lineRule="auto"/>
        <w:jc w:val="center"/>
        <w:rPr>
          <w:b/>
          <w:sz w:val="28"/>
          <w:szCs w:val="28"/>
        </w:rPr>
      </w:pPr>
    </w:p>
    <w:p w14:paraId="1B806244" w14:textId="77777777" w:rsidR="00593760" w:rsidRDefault="00593760" w:rsidP="002910B3">
      <w:pPr>
        <w:spacing w:after="0" w:line="240" w:lineRule="auto"/>
        <w:jc w:val="center"/>
        <w:rPr>
          <w:b/>
          <w:sz w:val="28"/>
          <w:szCs w:val="28"/>
        </w:rPr>
      </w:pPr>
    </w:p>
    <w:p w14:paraId="5782EF73" w14:textId="77777777" w:rsidR="00593760" w:rsidRDefault="00593760" w:rsidP="002910B3">
      <w:pPr>
        <w:spacing w:after="0" w:line="240" w:lineRule="auto"/>
        <w:jc w:val="center"/>
        <w:rPr>
          <w:b/>
          <w:sz w:val="28"/>
          <w:szCs w:val="28"/>
        </w:rPr>
      </w:pPr>
    </w:p>
    <w:p w14:paraId="1EDAF6C7" w14:textId="77777777" w:rsidR="00593760" w:rsidRDefault="00593760" w:rsidP="002910B3">
      <w:pPr>
        <w:spacing w:after="0" w:line="240" w:lineRule="auto"/>
        <w:jc w:val="center"/>
        <w:rPr>
          <w:b/>
          <w:sz w:val="28"/>
          <w:szCs w:val="28"/>
        </w:rPr>
      </w:pPr>
    </w:p>
    <w:p w14:paraId="377EB03C" w14:textId="77777777" w:rsidR="00593760" w:rsidRDefault="00593760" w:rsidP="002910B3">
      <w:pPr>
        <w:spacing w:after="0" w:line="240" w:lineRule="auto"/>
        <w:jc w:val="center"/>
        <w:rPr>
          <w:b/>
          <w:sz w:val="28"/>
          <w:szCs w:val="28"/>
        </w:rPr>
      </w:pPr>
    </w:p>
    <w:p w14:paraId="1AC8457E" w14:textId="77777777" w:rsidR="00593760" w:rsidRDefault="00593760" w:rsidP="002910B3">
      <w:pPr>
        <w:spacing w:after="0" w:line="240" w:lineRule="auto"/>
        <w:jc w:val="center"/>
        <w:rPr>
          <w:b/>
          <w:sz w:val="28"/>
          <w:szCs w:val="28"/>
        </w:rPr>
      </w:pPr>
    </w:p>
    <w:p w14:paraId="04CB20AF" w14:textId="77777777" w:rsidR="00593760" w:rsidRDefault="00593760" w:rsidP="002910B3">
      <w:pPr>
        <w:spacing w:after="0" w:line="240" w:lineRule="auto"/>
        <w:jc w:val="center"/>
        <w:rPr>
          <w:b/>
          <w:sz w:val="28"/>
          <w:szCs w:val="28"/>
        </w:rPr>
      </w:pPr>
    </w:p>
    <w:p w14:paraId="56AE5DBA" w14:textId="77777777" w:rsidR="00593760" w:rsidRDefault="00593760" w:rsidP="002910B3">
      <w:pPr>
        <w:spacing w:after="0" w:line="240" w:lineRule="auto"/>
        <w:jc w:val="center"/>
        <w:rPr>
          <w:b/>
          <w:sz w:val="28"/>
          <w:szCs w:val="28"/>
        </w:rPr>
      </w:pPr>
    </w:p>
    <w:p w14:paraId="3007D22A" w14:textId="77777777" w:rsidR="00593760" w:rsidRDefault="00593760" w:rsidP="002910B3">
      <w:pPr>
        <w:spacing w:after="0" w:line="240" w:lineRule="auto"/>
        <w:jc w:val="center"/>
        <w:rPr>
          <w:b/>
          <w:sz w:val="28"/>
          <w:szCs w:val="28"/>
        </w:rPr>
      </w:pPr>
    </w:p>
    <w:p w14:paraId="704F7F2B" w14:textId="77777777" w:rsidR="00593760" w:rsidRDefault="00593760" w:rsidP="002910B3">
      <w:pPr>
        <w:spacing w:after="0" w:line="240" w:lineRule="auto"/>
        <w:jc w:val="center"/>
        <w:rPr>
          <w:b/>
          <w:sz w:val="28"/>
          <w:szCs w:val="28"/>
        </w:rPr>
      </w:pPr>
    </w:p>
    <w:p w14:paraId="72D1842D" w14:textId="77777777" w:rsidR="00593760" w:rsidRDefault="00593760" w:rsidP="002910B3">
      <w:pPr>
        <w:spacing w:after="0" w:line="240" w:lineRule="auto"/>
        <w:jc w:val="center"/>
        <w:rPr>
          <w:b/>
          <w:sz w:val="28"/>
          <w:szCs w:val="28"/>
        </w:rPr>
      </w:pPr>
    </w:p>
    <w:p w14:paraId="2C4C2CE0" w14:textId="77777777" w:rsidR="00593760" w:rsidRDefault="00593760" w:rsidP="002910B3">
      <w:pPr>
        <w:spacing w:after="0" w:line="240" w:lineRule="auto"/>
        <w:jc w:val="center"/>
        <w:rPr>
          <w:b/>
          <w:sz w:val="28"/>
          <w:szCs w:val="28"/>
        </w:rPr>
      </w:pPr>
    </w:p>
    <w:p w14:paraId="36388500" w14:textId="77777777" w:rsidR="00593760" w:rsidRDefault="00593760" w:rsidP="002910B3">
      <w:pPr>
        <w:spacing w:after="0" w:line="240" w:lineRule="auto"/>
        <w:jc w:val="center"/>
        <w:rPr>
          <w:b/>
          <w:sz w:val="28"/>
          <w:szCs w:val="28"/>
        </w:rPr>
      </w:pPr>
    </w:p>
    <w:p w14:paraId="5C3832EA" w14:textId="77777777" w:rsidR="00593760" w:rsidRDefault="00593760" w:rsidP="002910B3">
      <w:pPr>
        <w:spacing w:after="0" w:line="240" w:lineRule="auto"/>
        <w:jc w:val="center"/>
        <w:rPr>
          <w:b/>
          <w:sz w:val="28"/>
          <w:szCs w:val="28"/>
        </w:rPr>
      </w:pPr>
    </w:p>
    <w:p w14:paraId="4FC447AE" w14:textId="77777777" w:rsidR="00593760" w:rsidRDefault="00593760"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ED97" w14:textId="77777777" w:rsidR="001E004E" w:rsidRPr="00E22090" w:rsidRDefault="001E004E">
      <w:pPr>
        <w:spacing w:after="0" w:line="240" w:lineRule="auto"/>
      </w:pPr>
      <w:r w:rsidRPr="00E22090">
        <w:separator/>
      </w:r>
    </w:p>
  </w:endnote>
  <w:endnote w:type="continuationSeparator" w:id="0">
    <w:p w14:paraId="59AB8A1F" w14:textId="77777777" w:rsidR="001E004E" w:rsidRPr="00E22090" w:rsidRDefault="001E004E">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CFE0" w14:textId="77777777" w:rsidR="001E004E" w:rsidRPr="00E22090" w:rsidRDefault="001E004E">
      <w:pPr>
        <w:spacing w:after="0" w:line="240" w:lineRule="auto"/>
      </w:pPr>
      <w:r w:rsidRPr="00E22090">
        <w:separator/>
      </w:r>
    </w:p>
  </w:footnote>
  <w:footnote w:type="continuationSeparator" w:id="0">
    <w:p w14:paraId="0D179F00" w14:textId="77777777" w:rsidR="001E004E" w:rsidRPr="00E22090" w:rsidRDefault="001E004E">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004E"/>
    <w:rsid w:val="001E183A"/>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27EF1"/>
    <w:rsid w:val="003363F6"/>
    <w:rsid w:val="0033683E"/>
    <w:rsid w:val="00340938"/>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B2E86"/>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6FAD"/>
    <w:rsid w:val="00AD7C28"/>
    <w:rsid w:val="00AE1F32"/>
    <w:rsid w:val="00AE4F9A"/>
    <w:rsid w:val="00B032BE"/>
    <w:rsid w:val="00B04635"/>
    <w:rsid w:val="00B3268E"/>
    <w:rsid w:val="00B34BC0"/>
    <w:rsid w:val="00B722FF"/>
    <w:rsid w:val="00B744E2"/>
    <w:rsid w:val="00B81454"/>
    <w:rsid w:val="00BA6270"/>
    <w:rsid w:val="00BA63E2"/>
    <w:rsid w:val="00BB023D"/>
    <w:rsid w:val="00BD4789"/>
    <w:rsid w:val="00BD4C05"/>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35B2C"/>
    <w:rsid w:val="00F35FEE"/>
    <w:rsid w:val="00F42D40"/>
    <w:rsid w:val="00F5148A"/>
    <w:rsid w:val="00F52B40"/>
    <w:rsid w:val="00F57EB4"/>
    <w:rsid w:val="00F7269C"/>
    <w:rsid w:val="00F81196"/>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3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3</cp:revision>
  <cp:lastPrinted>2025-06-26T20:53:00Z</cp:lastPrinted>
  <dcterms:created xsi:type="dcterms:W3CDTF">2025-06-25T21:27:00Z</dcterms:created>
  <dcterms:modified xsi:type="dcterms:W3CDTF">2025-06-26T20:55:00Z</dcterms:modified>
</cp:coreProperties>
</file>